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bidi="zh-CN"/>
        </w:rPr>
        <w:t>附件1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</w:p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  <w:t>河 南 省 教 育 厅</w:t>
      </w:r>
    </w:p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  <w:t>2021年度教育法治专项课题研究项目指南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马克思主义法治理论研究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2、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习近平法治思想理论和实践研究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3、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习近平法治思想精神内涵与时代特色研究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4、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习近平法治思想在教育领域实践研究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5、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以法治思维推进教育治理体系和治理能力现代化研究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6、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学生宪法教育研究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7、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新时代教育普法体制机制创新研究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8、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学生法治实践教育及案例教学研究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9、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学生法治思维和行为习惯养成研究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学生法治教育针对性、实效性研究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11、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刑事责任年龄降低与中小学法治教育衔接研究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12、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全面依法治国背景下大中小学法治课程体系研究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13、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加强法治教育师资队伍建设研究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教师法治教育教学能力提升研究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15、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依法治教、依法治校实践研究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16、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中小学法治副校长工作机制研究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17、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学校法律风险防控体系建设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18、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新时代高校章程建设研究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19、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师生权益保护制度研究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20、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未成年保护法实施问题及对策研究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21、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防范校园欺凌体制机制研究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22、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中小学教育惩戒机制研究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23、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校规校纪中的惩戒合理性审查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24、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学术不端的处理机制研究</w:t>
      </w:r>
    </w:p>
    <w:p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25、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 w:bidi="zh-CN"/>
        </w:rPr>
        <w:t>学校法治教育与家庭教育、社会教育的互动机制研究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B0077"/>
    <w:rsid w:val="5CC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2021-10-19T02:38:00Z</dcterms:created>
  <dc:creator>Enzyme</dc:creator>
  <cp:lastModifiedBy>Enzyme</cp:lastModifiedBy>
  <dcterms:modified xsi:type="dcterms:W3CDTF">2021-10-19T02:42:42Z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255B2742559B4C32AFCF90F70972C67D</vt:lpwstr>
  </property>
</Properties>
</file>